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683" w:rsidRDefault="00856C55">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AA2683" w:rsidRDefault="00AA2683">
      <w:pPr>
        <w:pStyle w:val="afc"/>
        <w:rPr>
          <w:i/>
        </w:rPr>
      </w:pPr>
    </w:p>
    <w:p w:rsidR="00AA2683" w:rsidRDefault="00856C5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AA2683" w:rsidRDefault="00856C55">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AA2683" w:rsidRDefault="00856C55">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AA2683" w:rsidRDefault="00856C55">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AA2683" w:rsidRDefault="00856C55">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AA2683" w:rsidRDefault="00856C55">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AA2683" w:rsidRDefault="00856C55">
      <w:pPr>
        <w:pStyle w:val="aff1"/>
        <w:spacing w:line="240" w:lineRule="exact"/>
        <w:rPr>
          <w:rStyle w:val="af6"/>
        </w:rPr>
      </w:pPr>
      <w:r>
        <w:rPr>
          <w:rFonts w:eastAsiaTheme="minorEastAsia"/>
        </w:rPr>
        <w:t>Fax (optional): [Full international fax number.]</w:t>
      </w:r>
    </w:p>
    <w:p w:rsidR="00AA2683" w:rsidRDefault="00856C55">
      <w:pPr>
        <w:pStyle w:val="aff1"/>
        <w:spacing w:line="240" w:lineRule="exact"/>
      </w:pPr>
      <w:r>
        <w:rPr>
          <w:rFonts w:hint="eastAsia"/>
        </w:rPr>
        <w:t xml:space="preserve">Email (mandatory) </w:t>
      </w:r>
    </w:p>
    <w:p w:rsidR="00AA2683" w:rsidRDefault="00AA2683">
      <w:pPr>
        <w:pStyle w:val="aff1"/>
        <w:spacing w:line="240" w:lineRule="exact"/>
        <w:rPr>
          <w:rFonts w:eastAsiaTheme="minorEastAsia"/>
        </w:rPr>
      </w:pPr>
    </w:p>
    <w:p w:rsidR="00AA2683" w:rsidRDefault="00856C55">
      <w:pPr>
        <w:pStyle w:val="aff1"/>
        <w:spacing w:line="240" w:lineRule="exact"/>
      </w:pPr>
      <w:r>
        <w:rPr>
          <w:vertAlign w:val="superscript"/>
        </w:rPr>
        <w:t>†</w:t>
      </w:r>
      <w:r>
        <w:t>These authors contributed equally.</w:t>
      </w:r>
    </w:p>
    <w:p w:rsidR="00AA2683" w:rsidRDefault="00AA2683">
      <w:pPr>
        <w:pStyle w:val="aff1"/>
        <w:rPr>
          <w:rFonts w:eastAsiaTheme="minorEastAsia"/>
        </w:rPr>
      </w:pPr>
    </w:p>
    <w:p w:rsidR="00AA2683" w:rsidRDefault="00856C55">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AA2683" w:rsidRDefault="00856C55">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AA2683" w:rsidRDefault="00856C55">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AA2683" w:rsidRDefault="00856C55">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AA2683" w:rsidRDefault="00AA2683">
      <w:pPr>
        <w:pStyle w:val="aff1"/>
        <w:rPr>
          <w:rFonts w:eastAsiaTheme="minorEastAsia"/>
        </w:rPr>
      </w:pPr>
    </w:p>
    <w:p w:rsidR="00AA2683" w:rsidRDefault="00AA2683">
      <w:pPr>
        <w:pStyle w:val="aff1"/>
        <w:rPr>
          <w:rFonts w:eastAsiaTheme="minorEastAsia"/>
        </w:rPr>
      </w:pPr>
    </w:p>
    <w:p w:rsidR="00AA2683" w:rsidRDefault="00856C55">
      <w:pPr>
        <w:ind w:firstLineChars="0" w:firstLine="0"/>
        <w:sectPr w:rsidR="00AA2683">
          <w:headerReference w:type="default" r:id="rId8"/>
          <w:footerReference w:type="default" r:id="rId9"/>
          <w:headerReference w:type="first" r:id="rId10"/>
          <w:footerReference w:type="first" r:id="rId11"/>
          <w:pgSz w:w="11906" w:h="16838"/>
          <w:pgMar w:top="1440" w:right="1080" w:bottom="1440" w:left="1080" w:header="1134" w:footer="567" w:gutter="0"/>
          <w:cols w:space="425"/>
          <w:titlePg/>
          <w:docGrid w:type="lines" w:linePitch="312"/>
        </w:sectPr>
      </w:pPr>
      <w:r>
        <w:br w:type="page"/>
      </w:r>
    </w:p>
    <w:p w:rsidR="00AA2683" w:rsidRDefault="00856C5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AA2683" w:rsidRDefault="00856C55">
      <w:pPr>
        <w:pStyle w:val="Abstract"/>
      </w:pPr>
      <w:r>
        <w:t>Abstract</w:t>
      </w:r>
    </w:p>
    <w:p w:rsidR="00AA2683" w:rsidRDefault="00856C55">
      <w:pPr>
        <w:adjustRightInd w:val="0"/>
        <w:snapToGrid w:val="0"/>
        <w:spacing w:line="288" w:lineRule="auto"/>
        <w:ind w:firstLine="42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r w:rsidR="00355BF1">
        <w:rPr>
          <w:rFonts w:eastAsia="宋体"/>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AA2683" w:rsidRDefault="00856C55">
      <w:pPr>
        <w:pStyle w:val="Keywords"/>
        <w:spacing w:line="288" w:lineRule="auto"/>
      </w:pPr>
      <w:r>
        <w:t>Keywords</w:t>
      </w:r>
    </w:p>
    <w:p w:rsidR="00AA2683" w:rsidRDefault="00856C55">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AA2683" w:rsidRDefault="00AA2683">
      <w:pPr>
        <w:pStyle w:val="afd"/>
      </w:pPr>
    </w:p>
    <w:p w:rsidR="00AA2683" w:rsidRDefault="00856C55">
      <w:pPr>
        <w:pStyle w:val="1"/>
      </w:pPr>
      <w:r>
        <w:t>1. Introduction [</w:t>
      </w:r>
      <w:r>
        <w:rPr>
          <w:color w:val="A6A6A6" w:themeColor="background1" w:themeShade="A6"/>
        </w:rPr>
        <w:t>first level heading</w:t>
      </w:r>
      <w:r>
        <w:t>]</w:t>
      </w:r>
    </w:p>
    <w:p w:rsidR="00AA2683" w:rsidRDefault="00856C55">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sidR="00355BF1">
        <w:rPr>
          <w:rFonts w:eastAsia="宋体"/>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AA2683" w:rsidRDefault="00856C55">
      <w:pPr>
        <w:pStyle w:val="1"/>
      </w:pPr>
      <w:r>
        <w:t>2. Materials and Methods</w:t>
      </w:r>
    </w:p>
    <w:p w:rsidR="00AA2683" w:rsidRDefault="00856C55">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AA2683" w:rsidRDefault="00856C55">
      <w:pPr>
        <w:pStyle w:val="1"/>
      </w:pPr>
      <w:r>
        <w:rPr>
          <w:rFonts w:hint="eastAsia"/>
        </w:rPr>
        <w:t>3</w:t>
      </w:r>
      <w:r>
        <w:t>. Results</w:t>
      </w:r>
    </w:p>
    <w:p w:rsidR="00AA2683" w:rsidRDefault="00856C55">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3D65FF">
        <w:rPr>
          <w:rFonts w:eastAsia="宋体"/>
          <w:i/>
          <w:szCs w:val="20"/>
        </w:rPr>
        <w:t>p</w:t>
      </w:r>
      <w:r w:rsidR="003D65FF" w:rsidRPr="003D65FF">
        <w:rPr>
          <w:rFonts w:eastAsia="宋体"/>
          <w:i/>
          <w:szCs w:val="20"/>
        </w:rPr>
        <w:t>-</w:t>
      </w:r>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AA2683" w:rsidRDefault="00856C55">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AA2683" w:rsidRDefault="00856C55">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AA2683" w:rsidRDefault="00856C55">
      <w:pPr>
        <w:pStyle w:val="3"/>
      </w:pPr>
      <w:r>
        <w:lastRenderedPageBreak/>
        <w:t>3.1.1 Figures [</w:t>
      </w:r>
      <w:r>
        <w:rPr>
          <w:color w:val="AEAAAA" w:themeColor="background2" w:themeShade="BF"/>
        </w:rPr>
        <w:t>third level heading</w:t>
      </w:r>
      <w:r>
        <w:t>]</w:t>
      </w:r>
    </w:p>
    <w:p w:rsidR="00AA2683" w:rsidRDefault="00856C55">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AA2683" w:rsidRDefault="00856C55">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AA2683" w:rsidRDefault="00856C55">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r w:rsidR="00355BF1" w:rsidRPr="00355BF1">
        <w:rPr>
          <w:b w:val="0"/>
        </w:rPr>
        <w:t>the copyright</w:t>
      </w:r>
      <w:r>
        <w:rPr>
          <w:b w:val="0"/>
        </w:rPr>
        <w:t xml:space="preserve"> holder if a figure is being reproduced from another source.</w:t>
      </w:r>
    </w:p>
    <w:p w:rsidR="00AA2683" w:rsidRDefault="00856C55">
      <w:pPr>
        <w:pStyle w:val="3"/>
      </w:pPr>
      <w:r>
        <w:t>3.1.2 Tables</w:t>
      </w:r>
    </w:p>
    <w:p w:rsidR="00AA2683" w:rsidRDefault="00856C55">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AA2683" w:rsidRDefault="00856C55">
      <w:pPr>
        <w:pStyle w:val="af9"/>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A2683">
        <w:trPr>
          <w:jc w:val="center"/>
        </w:trPr>
        <w:tc>
          <w:tcPr>
            <w:tcW w:w="2643" w:type="dxa"/>
            <w:shd w:val="clear" w:color="auto" w:fill="auto"/>
          </w:tcPr>
          <w:p w:rsidR="00AA2683" w:rsidRDefault="00856C55">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AA2683" w:rsidRDefault="00856C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AA2683" w:rsidRDefault="00856C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AA2683" w:rsidRDefault="00856C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A2683">
        <w:trPr>
          <w:jc w:val="center"/>
        </w:trPr>
        <w:tc>
          <w:tcPr>
            <w:tcW w:w="2643" w:type="dxa"/>
            <w:shd w:val="clear" w:color="auto" w:fill="auto"/>
          </w:tcPr>
          <w:p w:rsidR="00AA2683" w:rsidRDefault="00856C55">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r w:rsidR="00AA2683">
        <w:trPr>
          <w:jc w:val="center"/>
        </w:trPr>
        <w:tc>
          <w:tcPr>
            <w:tcW w:w="2643" w:type="dxa"/>
            <w:shd w:val="clear" w:color="auto" w:fill="auto"/>
          </w:tcPr>
          <w:p w:rsidR="00AA2683" w:rsidRDefault="00856C55">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r w:rsidR="00AA2683">
        <w:trPr>
          <w:jc w:val="center"/>
        </w:trPr>
        <w:tc>
          <w:tcPr>
            <w:tcW w:w="2643" w:type="dxa"/>
            <w:shd w:val="clear" w:color="auto" w:fill="auto"/>
          </w:tcPr>
          <w:p w:rsidR="00AA2683" w:rsidRDefault="00856C55">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r w:rsidR="00AA2683">
        <w:trPr>
          <w:jc w:val="center"/>
        </w:trPr>
        <w:tc>
          <w:tcPr>
            <w:tcW w:w="2643" w:type="dxa"/>
            <w:shd w:val="clear" w:color="auto" w:fill="auto"/>
          </w:tcPr>
          <w:p w:rsidR="00AA2683" w:rsidRDefault="00856C55">
            <w:pPr>
              <w:adjustRightInd w:val="0"/>
              <w:snapToGrid w:val="0"/>
              <w:spacing w:line="288" w:lineRule="auto"/>
              <w:ind w:firstLineChars="0" w:firstLine="0"/>
              <w:rPr>
                <w:sz w:val="18"/>
              </w:rPr>
            </w:pPr>
            <w:r>
              <w:rPr>
                <w:sz w:val="18"/>
              </w:rPr>
              <w:t>Entry 4</w:t>
            </w:r>
          </w:p>
        </w:tc>
        <w:tc>
          <w:tcPr>
            <w:tcW w:w="2536"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bl>
    <w:p w:rsidR="00AA2683" w:rsidRDefault="00856C55">
      <w:pPr>
        <w:pStyle w:val="afa"/>
      </w:pPr>
      <w:r>
        <w:t>Table footnotes.</w:t>
      </w:r>
    </w:p>
    <w:p w:rsidR="00AA2683" w:rsidRDefault="00AA2683">
      <w:pPr>
        <w:ind w:firstLineChars="0" w:firstLine="0"/>
        <w:rPr>
          <w:rFonts w:eastAsiaTheme="minorEastAsia"/>
          <w:sz w:val="22"/>
        </w:rPr>
      </w:pPr>
    </w:p>
    <w:p w:rsidR="00AA2683" w:rsidRDefault="00856C55">
      <w:pPr>
        <w:pStyle w:val="3"/>
      </w:pPr>
      <w:r>
        <w:t>3.1.3 Mathematical Components</w:t>
      </w:r>
    </w:p>
    <w:p w:rsidR="00AA2683" w:rsidRDefault="00856C55">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AA2683" w:rsidRDefault="00856C55">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AA2683" w:rsidRDefault="00856C55">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AA2683" w:rsidRDefault="00856C55">
      <w:pPr>
        <w:adjustRightInd w:val="0"/>
        <w:snapToGrid w:val="0"/>
        <w:spacing w:line="288" w:lineRule="auto"/>
        <w:ind w:firstLineChars="0" w:firstLine="0"/>
        <w:outlineLvl w:val="3"/>
      </w:pPr>
      <w:r>
        <w:t>This is the example 2 of equation</w:t>
      </w:r>
    </w:p>
    <w:p w:rsidR="00AA2683" w:rsidRDefault="00856C55">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AA2683" w:rsidRDefault="00856C55">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AA2683" w:rsidRDefault="00856C55">
      <w:pPr>
        <w:adjustRightInd w:val="0"/>
        <w:snapToGrid w:val="0"/>
        <w:spacing w:before="240" w:after="240" w:line="288" w:lineRule="auto"/>
        <w:ind w:firstLineChars="0" w:firstLine="0"/>
        <w:outlineLvl w:val="1"/>
        <w:rPr>
          <w:rFonts w:eastAsia="宋体"/>
          <w:i/>
          <w:sz w:val="20"/>
          <w:szCs w:val="20"/>
        </w:rPr>
      </w:pPr>
      <w:r>
        <w:rPr>
          <w:i/>
        </w:rPr>
        <w:t>3.2 Units</w:t>
      </w:r>
    </w:p>
    <w:p w:rsidR="00AA2683" w:rsidRDefault="00856C55">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AA2683" w:rsidRDefault="00856C55">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AA2683" w:rsidRDefault="00856C55">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AA2683" w:rsidRDefault="00856C55">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AA2683" w:rsidRDefault="00856C55">
      <w:pPr>
        <w:pStyle w:val="1"/>
      </w:pPr>
      <w:r>
        <w:t>4. Discussion</w:t>
      </w:r>
    </w:p>
    <w:p w:rsidR="00AA2683" w:rsidRDefault="00856C55">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AA2683" w:rsidRDefault="00856C55">
      <w:pPr>
        <w:pStyle w:val="1"/>
      </w:pPr>
      <w:r>
        <w:lastRenderedPageBreak/>
        <w:t>5. Conclusions</w:t>
      </w:r>
    </w:p>
    <w:p w:rsidR="00AA2683" w:rsidRDefault="00856C55">
      <w:pPr>
        <w:adjustRightInd w:val="0"/>
        <w:snapToGrid w:val="0"/>
        <w:spacing w:line="288" w:lineRule="auto"/>
        <w:ind w:firstLine="420"/>
        <w:rPr>
          <w:rFonts w:eastAsia="宋体"/>
          <w:szCs w:val="20"/>
        </w:rPr>
      </w:pPr>
      <w:bookmarkStart w:id="1" w:name="_Toc41410307"/>
      <w:bookmarkStart w:id="2" w:name="_Toc41411410"/>
      <w:bookmarkStart w:id="3" w:name="_Toc41410506"/>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AA2683" w:rsidRDefault="00856C55">
      <w:pPr>
        <w:pStyle w:val="aff9"/>
      </w:pPr>
      <w:r>
        <w:t>Abbreviations</w:t>
      </w:r>
      <w:bookmarkEnd w:id="1"/>
      <w:bookmarkEnd w:id="2"/>
      <w:bookmarkEnd w:id="3"/>
      <w:r>
        <w:t xml:space="preserve"> [</w:t>
      </w:r>
      <w:r>
        <w:rPr>
          <w:color w:val="A6A6A6" w:themeColor="background1" w:themeShade="A6"/>
        </w:rPr>
        <w:t>optional section</w:t>
      </w:r>
      <w:r>
        <w:t>]</w:t>
      </w:r>
    </w:p>
    <w:p w:rsidR="00AA2683" w:rsidRDefault="00856C55">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AA2683" w:rsidRDefault="00856C55">
      <w:pPr>
        <w:pStyle w:val="aff9"/>
      </w:pPr>
      <w:r>
        <w:t>Supplementary Material [</w:t>
      </w:r>
      <w:r>
        <w:rPr>
          <w:color w:val="A6A6A6" w:themeColor="background1" w:themeShade="A6"/>
        </w:rPr>
        <w:t>optional section</w:t>
      </w:r>
      <w:r>
        <w:t>]</w:t>
      </w:r>
    </w:p>
    <w:p w:rsidR="00AA2683" w:rsidRDefault="00856C55">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AA2683" w:rsidRDefault="00856C55">
      <w:pPr>
        <w:pStyle w:val="aff9"/>
        <w:rPr>
          <w:rFonts w:eastAsiaTheme="minorEastAsia"/>
        </w:rPr>
      </w:pPr>
      <w:r>
        <w:t>Appendix [</w:t>
      </w:r>
      <w:r>
        <w:rPr>
          <w:color w:val="AEAAAA" w:themeColor="background2" w:themeShade="BF"/>
        </w:rPr>
        <w:t>optional section</w:t>
      </w:r>
      <w:r>
        <w:t>]</w:t>
      </w:r>
    </w:p>
    <w:p w:rsidR="00AA2683" w:rsidRDefault="00856C55">
      <w:pPr>
        <w:adjustRightInd w:val="0"/>
        <w:snapToGrid w:val="0"/>
        <w:spacing w:line="288" w:lineRule="auto"/>
        <w:ind w:firstLine="420"/>
        <w:rPr>
          <w:rFonts w:eastAsia="宋体"/>
          <w:szCs w:val="20"/>
        </w:rPr>
      </w:pPr>
      <w:r>
        <w:rPr>
          <w:rFonts w:eastAsia="宋体"/>
          <w:szCs w:val="20"/>
        </w:rPr>
        <w:t>All appendix materials must be cited in the main text.</w:t>
      </w:r>
    </w:p>
    <w:p w:rsidR="00AA2683" w:rsidRDefault="00856C55">
      <w:pPr>
        <w:pStyle w:val="aff9"/>
      </w:pPr>
      <w:r>
        <w:t>Availability of Data and Materials</w:t>
      </w:r>
    </w:p>
    <w:p w:rsidR="00AA2683" w:rsidRDefault="00856C55">
      <w:pPr>
        <w:pStyle w:val="aff9"/>
        <w:ind w:firstLineChars="200" w:firstLine="420"/>
        <w:rPr>
          <w:rFonts w:eastAsia="宋体"/>
          <w:b w:val="0"/>
          <w:sz w:val="21"/>
          <w:szCs w:val="20"/>
        </w:rPr>
      </w:pPr>
      <w:r>
        <w:rPr>
          <w:rFonts w:eastAsia="宋体" w:hint="eastAsia"/>
          <w:b w:val="0"/>
          <w:sz w:val="21"/>
          <w:szCs w:val="20"/>
        </w:rPr>
        <w:t xml:space="preserve">This section </w:t>
      </w:r>
      <w:r w:rsidR="00355BF1">
        <w:rPr>
          <w:rFonts w:eastAsia="宋体" w:hint="eastAsia"/>
          <w:b w:val="0"/>
          <w:sz w:val="21"/>
          <w:szCs w:val="20"/>
        </w:rPr>
        <w:t>is</w:t>
      </w:r>
      <w:r>
        <w:rPr>
          <w:rFonts w:eastAsia="宋体" w:hint="eastAsia"/>
          <w:b w:val="0"/>
          <w:sz w:val="21"/>
          <w:szCs w:val="20"/>
        </w:rPr>
        <w:t xml:space="preserve"> strongly encouraged that all datasets on which the conclusions of a manuscript depend should be available to re</w:t>
      </w:r>
      <w:r w:rsidRPr="003D65FF">
        <w:rPr>
          <w:rFonts w:eastAsia="宋体" w:hint="eastAsia"/>
          <w:b w:val="0"/>
          <w:sz w:val="21"/>
          <w:szCs w:val="20"/>
        </w:rPr>
        <w:t>aders, unless they are already provided as part of the submitted article. Authors who do not wish to share their data must state this fact, and also provide an explanation as to why the data are unavailable. More information about</w:t>
      </w:r>
      <w:hyperlink r:id="rId13" w:anchor="availability_of_data_and_materials" w:history="1">
        <w:r w:rsidRPr="003D65FF">
          <w:rPr>
            <w:rStyle w:val="af5"/>
            <w:rFonts w:eastAsia="宋体" w:hint="eastAsia"/>
            <w:b w:val="0"/>
            <w:sz w:val="21"/>
            <w:szCs w:val="20"/>
            <w:u w:val="none"/>
          </w:rPr>
          <w:t xml:space="preserve"> </w:t>
        </w:r>
        <w:r w:rsidRPr="003D65FF">
          <w:rPr>
            <w:rStyle w:val="af5"/>
            <w:rFonts w:eastAsia="宋体" w:hint="eastAsia"/>
            <w:b w:val="0"/>
            <w:sz w:val="21"/>
            <w:szCs w:val="20"/>
          </w:rPr>
          <w:t>Availability of Data and Materials Policy</w:t>
        </w:r>
      </w:hyperlink>
      <w:bookmarkStart w:id="4" w:name="_GoBack"/>
      <w:bookmarkEnd w:id="4"/>
      <w:r w:rsidRPr="003D65FF">
        <w:rPr>
          <w:rFonts w:eastAsia="宋体" w:hint="eastAsia"/>
          <w:b w:val="0"/>
          <w:sz w:val="21"/>
          <w:szCs w:val="20"/>
        </w:rPr>
        <w:t>.</w:t>
      </w:r>
      <w:r>
        <w:rPr>
          <w:rFonts w:eastAsia="宋体" w:hint="eastAsia"/>
          <w:b w:val="0"/>
          <w:sz w:val="21"/>
          <w:szCs w:val="20"/>
        </w:rPr>
        <w:t xml:space="preserve"> </w:t>
      </w:r>
    </w:p>
    <w:p w:rsidR="00AA2683" w:rsidRDefault="00856C55">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AA2683" w:rsidRDefault="00856C55">
      <w:pPr>
        <w:pStyle w:val="aff9"/>
      </w:pPr>
      <w:r>
        <w:t>Author Contributions</w:t>
      </w:r>
    </w:p>
    <w:p w:rsidR="00AA2683" w:rsidRDefault="00856C55">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 xml:space="preserve">criteria for authorship as outlined </w:t>
      </w:r>
      <w:r w:rsidRPr="003D65FF">
        <w:rPr>
          <w:rFonts w:hint="eastAsia"/>
        </w:rPr>
        <w:t>in the</w:t>
      </w:r>
      <w:hyperlink r:id="rId14" w:anchor="Authorship" w:history="1">
        <w:r w:rsidRPr="003D65FF">
          <w:rPr>
            <w:rStyle w:val="af5"/>
            <w:rFonts w:hint="eastAsia"/>
          </w:rPr>
          <w:t xml:space="preserve"> authorship policy</w:t>
        </w:r>
      </w:hyperlink>
      <w:r w:rsidRPr="003D65FF">
        <w:rPr>
          <w:rFonts w:hint="eastAsia"/>
        </w:rPr>
        <w:t>. Those who contributed to the work but do not meet the criteria for authorship can be mentioned in the Acknowledg</w:t>
      </w:r>
      <w:r>
        <w:rPr>
          <w:rFonts w:hint="eastAsia"/>
        </w:rPr>
        <w:t xml:space="preserve">ments. </w:t>
      </w:r>
    </w:p>
    <w:p w:rsidR="00AA2683" w:rsidRDefault="00856C55">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AA2683" w:rsidRDefault="00856C55">
      <w:pPr>
        <w:pStyle w:val="aff9"/>
      </w:pPr>
      <w:r>
        <w:t>Ethics Approval and Consent to Participate</w:t>
      </w:r>
    </w:p>
    <w:p w:rsidR="00AA2683" w:rsidRDefault="00856C55">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w:t>
      </w:r>
      <w:r w:rsidRPr="003D65FF">
        <w:rPr>
          <w:rFonts w:eastAsia="宋体"/>
          <w:szCs w:val="20"/>
        </w:rPr>
        <w:t>hat approved the study and the committee’s reference number if appropriate. Studies involving animals must include a statement on ethics approval. If the article does not involve this part, please add: “Not applicable.”</w:t>
      </w:r>
      <w:r w:rsidRPr="003D65FF">
        <w:rPr>
          <w:rFonts w:eastAsia="宋体" w:hint="eastAsia"/>
          <w:szCs w:val="20"/>
        </w:rPr>
        <w:t xml:space="preserve"> More i</w:t>
      </w:r>
      <w:r w:rsidRPr="003D65FF">
        <w:rPr>
          <w:rFonts w:eastAsia="宋体"/>
          <w:szCs w:val="20"/>
        </w:rPr>
        <w:t xml:space="preserve">nformation about </w:t>
      </w:r>
      <w:hyperlink r:id="rId15" w:history="1">
        <w:r w:rsidRPr="003D65FF">
          <w:rPr>
            <w:rStyle w:val="af5"/>
            <w:rFonts w:eastAsia="宋体" w:hint="eastAsia"/>
            <w:szCs w:val="20"/>
          </w:rPr>
          <w:t>Ethics Approval and Consent to Participate</w:t>
        </w:r>
        <w:r w:rsidRPr="003D65FF">
          <w:rPr>
            <w:rStyle w:val="af5"/>
            <w:rFonts w:eastAsia="宋体"/>
            <w:szCs w:val="20"/>
          </w:rPr>
          <w:t xml:space="preserve"> </w:t>
        </w:r>
        <w:r w:rsidRPr="003D65FF">
          <w:rPr>
            <w:rStyle w:val="af5"/>
            <w:rFonts w:eastAsia="宋体" w:hint="eastAsia"/>
            <w:szCs w:val="20"/>
          </w:rPr>
          <w:t>P</w:t>
        </w:r>
        <w:r w:rsidRPr="003D65FF">
          <w:rPr>
            <w:rStyle w:val="af5"/>
            <w:rFonts w:eastAsia="宋体"/>
            <w:szCs w:val="20"/>
          </w:rPr>
          <w:t>olicies</w:t>
        </w:r>
      </w:hyperlink>
      <w:r w:rsidRPr="003D65FF">
        <w:rPr>
          <w:rFonts w:eastAsia="宋体" w:hint="eastAsia"/>
          <w:szCs w:val="20"/>
        </w:rPr>
        <w:t>.</w:t>
      </w:r>
    </w:p>
    <w:p w:rsidR="00AA2683" w:rsidRDefault="00856C55">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4D10C5" w:rsidRPr="005D080F">
        <w:rPr>
          <w:rFonts w:eastAsia="宋体"/>
          <w:b w:val="0"/>
          <w:sz w:val="21"/>
          <w:szCs w:val="20"/>
        </w:rPr>
        <w:t>The study was conducted in accordance with the Declaration of Helsinki.</w:t>
      </w:r>
      <w:r w:rsidR="004D10C5">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AA2683" w:rsidRDefault="00856C55">
      <w:pPr>
        <w:pStyle w:val="aff9"/>
      </w:pPr>
      <w:r>
        <w:t>Acknowledgment</w:t>
      </w:r>
    </w:p>
    <w:p w:rsidR="00AA2683" w:rsidRDefault="00856C55">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w:t>
      </w:r>
      <w:r w:rsidRPr="003D65FF">
        <w:rPr>
          <w:rFonts w:eastAsia="宋体"/>
          <w:szCs w:val="20"/>
        </w:rPr>
        <w:t>nts). Please do not thank the editors in this section, but you can send an email to express thanks.</w:t>
      </w:r>
      <w:r w:rsidRPr="003D65FF">
        <w:rPr>
          <w:rFonts w:eastAsia="宋体" w:hint="eastAsia"/>
          <w:szCs w:val="20"/>
        </w:rPr>
        <w:t xml:space="preserve"> More i</w:t>
      </w:r>
      <w:r w:rsidRPr="003D65FF">
        <w:rPr>
          <w:rFonts w:eastAsia="宋体"/>
          <w:szCs w:val="20"/>
        </w:rPr>
        <w:t xml:space="preserve">nformation about </w:t>
      </w:r>
      <w:hyperlink r:id="rId16" w:anchor="authorship" w:history="1">
        <w:r w:rsidRPr="003D65FF">
          <w:rPr>
            <w:rStyle w:val="af5"/>
            <w:rFonts w:eastAsia="宋体"/>
            <w:szCs w:val="20"/>
          </w:rPr>
          <w:t>Acknowledgment Policy</w:t>
        </w:r>
      </w:hyperlink>
      <w:r w:rsidRPr="003D65FF">
        <w:rPr>
          <w:rFonts w:eastAsia="宋体" w:hint="eastAsia"/>
          <w:szCs w:val="20"/>
        </w:rPr>
        <w:t>.</w:t>
      </w:r>
    </w:p>
    <w:p w:rsidR="00AA2683" w:rsidRDefault="00856C55">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D11657" w:rsidRDefault="00D11657" w:rsidP="00D11657">
      <w:pPr>
        <w:pStyle w:val="aff9"/>
      </w:pPr>
      <w:r>
        <w:t>Funding</w:t>
      </w:r>
    </w:p>
    <w:p w:rsidR="00D11657" w:rsidRDefault="00D11657" w:rsidP="00D11657">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D11657" w:rsidRDefault="00D11657" w:rsidP="00D11657">
      <w:pPr>
        <w:pStyle w:val="aff9"/>
      </w:pPr>
      <w:r>
        <w:t>Conflict of Interest</w:t>
      </w:r>
    </w:p>
    <w:p w:rsidR="00D11657" w:rsidRDefault="00D11657" w:rsidP="00D11657">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nformation ab</w:t>
      </w:r>
      <w:r w:rsidRPr="003D65FF">
        <w:rPr>
          <w:rFonts w:eastAsia="宋体"/>
          <w:szCs w:val="20"/>
        </w:rPr>
        <w:t xml:space="preserve">out </w:t>
      </w:r>
      <w:hyperlink r:id="rId17" w:anchor="conflict_of_interests" w:history="1">
        <w:r w:rsidRPr="003D65FF">
          <w:rPr>
            <w:rStyle w:val="af5"/>
            <w:rFonts w:eastAsia="宋体" w:hint="eastAsia"/>
            <w:szCs w:val="20"/>
          </w:rPr>
          <w:t>Conflict of Interest</w:t>
        </w:r>
        <w:r w:rsidRPr="003D65FF">
          <w:rPr>
            <w:rStyle w:val="af5"/>
            <w:rFonts w:eastAsia="宋体"/>
            <w:szCs w:val="20"/>
          </w:rPr>
          <w:t xml:space="preserve"> Policy</w:t>
        </w:r>
      </w:hyperlink>
      <w:r w:rsidR="00F6255F" w:rsidRPr="003D65FF">
        <w:rPr>
          <w:rFonts w:eastAsia="宋体"/>
          <w:szCs w:val="20"/>
        </w:rPr>
        <w:t>.</w:t>
      </w:r>
    </w:p>
    <w:p w:rsidR="00D11657" w:rsidRPr="00150284" w:rsidRDefault="00D11657" w:rsidP="00D11657">
      <w:pPr>
        <w:pStyle w:val="aff9"/>
      </w:pPr>
      <w:r w:rsidRPr="00150284">
        <w:rPr>
          <w:rFonts w:hint="eastAsia"/>
        </w:rPr>
        <w:t>Declaration of AI and AI-assisted Technologies in the Writing Process</w:t>
      </w:r>
    </w:p>
    <w:p w:rsidR="00D11657" w:rsidRPr="00150284" w:rsidRDefault="00D11657" w:rsidP="00D11657">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18" w:history="1">
        <w:r w:rsidRPr="004C2375">
          <w:rPr>
            <w:rStyle w:val="af5"/>
            <w:rFonts w:eastAsia="宋体"/>
            <w:szCs w:val="20"/>
          </w:rPr>
          <w:t>COPE’s stated position</w:t>
        </w:r>
      </w:hyperlink>
      <w:r w:rsidRPr="004C2375">
        <w:rPr>
          <w:rFonts w:eastAsia="宋体"/>
          <w:szCs w:val="20"/>
        </w:rPr>
        <w:t xml:space="preserve"> on AI tools and </w:t>
      </w:r>
      <w:hyperlink r:id="rId19" w:history="1">
        <w:r w:rsidRPr="004C2375">
          <w:rPr>
            <w:rStyle w:val="af5"/>
            <w:rFonts w:eastAsia="宋体"/>
            <w:szCs w:val="20"/>
          </w:rPr>
          <w:t>ICMJE’s authorship criteria</w:t>
        </w:r>
      </w:hyperlink>
      <w:r w:rsidRPr="004C2375">
        <w:rPr>
          <w:rFonts w:eastAsia="宋体"/>
          <w:szCs w:val="20"/>
        </w:rPr>
        <w:t xml:space="preserve">, artificial intelligence chatbots, such as </w:t>
      </w:r>
      <w:hyperlink r:id="rId20" w:history="1">
        <w:r w:rsidRPr="004C2375">
          <w:rPr>
            <w:rStyle w:val="af5"/>
            <w:rFonts w:eastAsia="宋体"/>
            <w:szCs w:val="20"/>
          </w:rPr>
          <w:t>ChatGPT</w:t>
        </w:r>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w:t>
      </w:r>
      <w:r w:rsidR="00355BF1">
        <w:rPr>
          <w:rFonts w:eastAsia="宋体"/>
          <w:szCs w:val="20"/>
        </w:rPr>
        <w:t xml:space="preserve"> </w:t>
      </w:r>
      <w:r w:rsidRPr="004C2375">
        <w:rPr>
          <w:rFonts w:eastAsia="宋体"/>
          <w:szCs w:val="20"/>
        </w:rPr>
        <w:t>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D11657" w:rsidRPr="00150284" w:rsidRDefault="00D11657" w:rsidP="00D11657">
      <w:pPr>
        <w:adjustRightInd w:val="0"/>
        <w:snapToGrid w:val="0"/>
        <w:spacing w:line="288" w:lineRule="auto"/>
        <w:ind w:firstLineChars="0" w:firstLine="0"/>
        <w:rPr>
          <w:rFonts w:eastAsia="宋体"/>
          <w:szCs w:val="20"/>
        </w:rPr>
      </w:pPr>
    </w:p>
    <w:p w:rsidR="00D11657" w:rsidRPr="00150284" w:rsidRDefault="00D11657" w:rsidP="00D11657">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AA2683" w:rsidRDefault="00AA2683">
      <w:pPr>
        <w:adjustRightInd w:val="0"/>
        <w:snapToGrid w:val="0"/>
        <w:spacing w:line="288" w:lineRule="auto"/>
        <w:ind w:firstLineChars="0" w:firstLine="0"/>
        <w:rPr>
          <w:rFonts w:eastAsia="宋体"/>
          <w:b/>
          <w:szCs w:val="20"/>
          <w:highlight w:val="yellow"/>
        </w:rPr>
      </w:pPr>
    </w:p>
    <w:p w:rsidR="00AA2683" w:rsidRDefault="00AA2683">
      <w:pPr>
        <w:adjustRightInd w:val="0"/>
        <w:snapToGrid w:val="0"/>
        <w:spacing w:line="288" w:lineRule="auto"/>
        <w:ind w:firstLineChars="0" w:firstLine="0"/>
        <w:rPr>
          <w:rFonts w:eastAsia="宋体"/>
          <w:szCs w:val="20"/>
        </w:rPr>
      </w:pPr>
    </w:p>
    <w:p w:rsidR="00AA2683" w:rsidRDefault="00856C55">
      <w:pPr>
        <w:pStyle w:val="aff9"/>
      </w:pPr>
      <w:r>
        <w:t>References and Notes</w:t>
      </w:r>
    </w:p>
    <w:p w:rsidR="00AA2683" w:rsidRPr="003D65FF" w:rsidRDefault="00856C55">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w:t>
      </w:r>
      <w:r w:rsidRPr="003D65FF">
        <w:rPr>
          <w:rStyle w:val="af6"/>
          <w:rFonts w:hint="eastAsia"/>
          <w:b w:val="0"/>
        </w:rPr>
        <w:t xml:space="preserve">re responsible for the accuracy and completeness of their </w:t>
      </w:r>
      <w:hyperlink r:id="rId21" w:anchor="citations" w:history="1">
        <w:r w:rsidRPr="003D65FF">
          <w:rPr>
            <w:rStyle w:val="af5"/>
            <w:rFonts w:hint="eastAsia"/>
            <w:b w:val="0"/>
            <w:sz w:val="21"/>
            <w:szCs w:val="21"/>
          </w:rPr>
          <w:t>references</w:t>
        </w:r>
      </w:hyperlink>
      <w:r w:rsidRPr="003D65FF">
        <w:rPr>
          <w:rStyle w:val="af6"/>
          <w:rFonts w:hint="eastAsia"/>
          <w:b w:val="0"/>
        </w:rPr>
        <w:t xml:space="preserve">.  </w:t>
      </w:r>
    </w:p>
    <w:p w:rsidR="00AA2683" w:rsidRDefault="00856C55">
      <w:pPr>
        <w:adjustRightInd w:val="0"/>
        <w:snapToGrid w:val="0"/>
        <w:spacing w:line="288" w:lineRule="auto"/>
        <w:ind w:firstLineChars="0" w:firstLine="0"/>
        <w:rPr>
          <w:rFonts w:eastAsia="宋体"/>
          <w:szCs w:val="20"/>
        </w:rPr>
      </w:pPr>
      <w:r w:rsidRPr="003D65FF">
        <w:rPr>
          <w:rFonts w:eastAsia="宋体"/>
          <w:szCs w:val="20"/>
        </w:rPr>
        <w:t>Sample reference citation (</w:t>
      </w:r>
      <w:hyperlink r:id="rId22" w:history="1">
        <w:r w:rsidRPr="003D65FF">
          <w:rPr>
            <w:rStyle w:val="af5"/>
            <w:rFonts w:eastAsia="宋体"/>
            <w:szCs w:val="20"/>
          </w:rPr>
          <w:t>Download EndNote style</w:t>
        </w:r>
      </w:hyperlink>
      <w:r w:rsidRPr="003D65FF">
        <w:rPr>
          <w:rFonts w:eastAsia="宋体"/>
          <w:szCs w:val="20"/>
        </w:rPr>
        <w:t>).</w:t>
      </w:r>
    </w:p>
    <w:p w:rsidR="00AA2683" w:rsidRDefault="00AA2683">
      <w:pPr>
        <w:adjustRightInd w:val="0"/>
        <w:snapToGrid w:val="0"/>
        <w:spacing w:line="288" w:lineRule="auto"/>
        <w:ind w:firstLineChars="0" w:firstLine="0"/>
        <w:rPr>
          <w:rFonts w:eastAsia="宋体"/>
          <w:szCs w:val="20"/>
        </w:rPr>
      </w:pPr>
    </w:p>
    <w:p w:rsidR="00AA2683" w:rsidRDefault="00856C55">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AA2683" w:rsidRDefault="00856C55">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AA2683" w:rsidRDefault="00856C55">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AA2683" w:rsidRDefault="00856C55">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AA2683" w:rsidRDefault="00856C55">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AA2683" w:rsidRDefault="00856C55">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AA2683" w:rsidRDefault="00856C55">
      <w:pPr>
        <w:pStyle w:val="afb"/>
        <w:ind w:left="420" w:hanging="420"/>
      </w:pPr>
      <w:r>
        <w:rPr>
          <w:sz w:val="21"/>
        </w:rPr>
        <w:t>[7] The advantage of endnotes, is that they are all arranged sequentially in one place, regardless of the length of individual notes.</w:t>
      </w:r>
    </w:p>
    <w:p w:rsidR="00AA2683" w:rsidRDefault="00AA2683">
      <w:pPr>
        <w:pStyle w:val="afb"/>
        <w:ind w:left="360" w:hanging="360"/>
      </w:pPr>
    </w:p>
    <w:sectPr w:rsidR="00AA2683">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675" w:rsidRDefault="00730675">
      <w:pPr>
        <w:ind w:firstLine="420"/>
      </w:pPr>
      <w:r>
        <w:separator/>
      </w:r>
    </w:p>
  </w:endnote>
  <w:endnote w:type="continuationSeparator" w:id="0">
    <w:p w:rsidR="00730675" w:rsidRDefault="0073067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683" w:rsidRDefault="00AA2683">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683" w:rsidRDefault="00856C55">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675" w:rsidRDefault="00730675">
      <w:pPr>
        <w:ind w:firstLine="420"/>
      </w:pPr>
      <w:r>
        <w:separator/>
      </w:r>
    </w:p>
  </w:footnote>
  <w:footnote w:type="continuationSeparator" w:id="0">
    <w:p w:rsidR="00730675" w:rsidRDefault="0073067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683" w:rsidRDefault="00AA2683">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683" w:rsidRDefault="00856C55">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2390140" cy="403225"/>
          <wp:effectExtent l="0" t="0" r="10160"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014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A7B99"/>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2F67"/>
    <w:rsid w:val="0021561A"/>
    <w:rsid w:val="0021587A"/>
    <w:rsid w:val="00216C34"/>
    <w:rsid w:val="00217EB8"/>
    <w:rsid w:val="0022621A"/>
    <w:rsid w:val="00226416"/>
    <w:rsid w:val="0023279E"/>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55BF1"/>
    <w:rsid w:val="00362047"/>
    <w:rsid w:val="00371F6D"/>
    <w:rsid w:val="0037287A"/>
    <w:rsid w:val="00373506"/>
    <w:rsid w:val="003850A7"/>
    <w:rsid w:val="00395650"/>
    <w:rsid w:val="003B3D9A"/>
    <w:rsid w:val="003B3ED8"/>
    <w:rsid w:val="003B4A74"/>
    <w:rsid w:val="003B6F47"/>
    <w:rsid w:val="003C0226"/>
    <w:rsid w:val="003C17E5"/>
    <w:rsid w:val="003D528F"/>
    <w:rsid w:val="003D65F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0C5"/>
    <w:rsid w:val="004D160F"/>
    <w:rsid w:val="004D7E19"/>
    <w:rsid w:val="004E76FB"/>
    <w:rsid w:val="004F114E"/>
    <w:rsid w:val="004F4159"/>
    <w:rsid w:val="004F6BFD"/>
    <w:rsid w:val="0050095D"/>
    <w:rsid w:val="005052C6"/>
    <w:rsid w:val="005144C4"/>
    <w:rsid w:val="00515A7D"/>
    <w:rsid w:val="00521AC4"/>
    <w:rsid w:val="005357F5"/>
    <w:rsid w:val="00542338"/>
    <w:rsid w:val="00546736"/>
    <w:rsid w:val="005514D4"/>
    <w:rsid w:val="005518D3"/>
    <w:rsid w:val="00563F3A"/>
    <w:rsid w:val="00564368"/>
    <w:rsid w:val="0056458A"/>
    <w:rsid w:val="00572548"/>
    <w:rsid w:val="0058199F"/>
    <w:rsid w:val="005874B5"/>
    <w:rsid w:val="0059238B"/>
    <w:rsid w:val="005A6765"/>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0675"/>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B4BE4"/>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56C55"/>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181C"/>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2683"/>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1660A"/>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41D9"/>
    <w:rsid w:val="00CC3D1B"/>
    <w:rsid w:val="00CC4C64"/>
    <w:rsid w:val="00CD7844"/>
    <w:rsid w:val="00CE563F"/>
    <w:rsid w:val="00CF1680"/>
    <w:rsid w:val="00CF4448"/>
    <w:rsid w:val="00D0100D"/>
    <w:rsid w:val="00D04978"/>
    <w:rsid w:val="00D11657"/>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2040B"/>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46870"/>
    <w:rsid w:val="00F6255F"/>
    <w:rsid w:val="00F85FCF"/>
    <w:rsid w:val="00F924AA"/>
    <w:rsid w:val="00F94404"/>
    <w:rsid w:val="00FA628F"/>
    <w:rsid w:val="00FB513B"/>
    <w:rsid w:val="00FC2396"/>
    <w:rsid w:val="00FC34D6"/>
    <w:rsid w:val="00FD2EFF"/>
    <w:rsid w:val="00FD46E9"/>
    <w:rsid w:val="00FE046D"/>
    <w:rsid w:val="00FF0135"/>
    <w:rsid w:val="00FF1392"/>
    <w:rsid w:val="00FF2CA7"/>
    <w:rsid w:val="00FF5195"/>
    <w:rsid w:val="01655E65"/>
    <w:rsid w:val="0CA5554C"/>
    <w:rsid w:val="0DF540CC"/>
    <w:rsid w:val="1131366D"/>
    <w:rsid w:val="16DF5419"/>
    <w:rsid w:val="17E92EF4"/>
    <w:rsid w:val="1A267DF0"/>
    <w:rsid w:val="1E302101"/>
    <w:rsid w:val="20DA5ACF"/>
    <w:rsid w:val="21BE795F"/>
    <w:rsid w:val="25F34DFB"/>
    <w:rsid w:val="27B626C7"/>
    <w:rsid w:val="29F62D17"/>
    <w:rsid w:val="2B404388"/>
    <w:rsid w:val="2C2212B6"/>
    <w:rsid w:val="2E2C723F"/>
    <w:rsid w:val="30550CCF"/>
    <w:rsid w:val="31D56941"/>
    <w:rsid w:val="374E3ECF"/>
    <w:rsid w:val="3B181276"/>
    <w:rsid w:val="3B702E61"/>
    <w:rsid w:val="3C9C35B9"/>
    <w:rsid w:val="3D0575D8"/>
    <w:rsid w:val="3DE9514C"/>
    <w:rsid w:val="3E530817"/>
    <w:rsid w:val="3EBB705C"/>
    <w:rsid w:val="41AF15C1"/>
    <w:rsid w:val="429D45BE"/>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5E80606B"/>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3DBB0"/>
  <w15:docId w15:val="{54E814C4-8370-487A-93FE-9AB2F10E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page/editorial-policies" TargetMode="External"/><Relationship Id="rId18" Type="http://schemas.openxmlformats.org/officeDocument/2006/relationships/hyperlink" Target="https://publicationethics.org/cope-position-statements/ai-author" TargetMode="External"/><Relationship Id="rId3" Type="http://schemas.openxmlformats.org/officeDocument/2006/relationships/styles" Target="styles.xml"/><Relationship Id="rId21" Type="http://schemas.openxmlformats.org/officeDocument/2006/relationships/hyperlink" Target="https://www.imrpress.com/page/editorial-policie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imrpress.com/page/editorial-policies"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openai.com/index/chatg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icmje.org/recommendations/browse/roles-and-responsibilities/defining-the-role-of-authors-and-contributor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JMCM/page/instructions" TargetMode="External"/><Relationship Id="rId22" Type="http://schemas.openxmlformats.org/officeDocument/2006/relationships/hyperlink" Target="https://storage.imrpress.com/IMR/1948300520956592000/application/EndNote-style.e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73FB3-3A1E-4A9C-B751-5A8190AF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2097</Words>
  <Characters>11955</Characters>
  <Application>Microsoft Office Word</Application>
  <DocSecurity>0</DocSecurity>
  <Lines>99</Lines>
  <Paragraphs>28</Paragraphs>
  <ScaleCrop>false</ScaleCrop>
  <Company>Microsoft</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2025-09-19T09:11:00Z</dcterms:created>
  <dcterms:modified xsi:type="dcterms:W3CDTF">2025-10-31T00:51:00Z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